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5C84" w:rsidRDefault="00BD5C84" w:rsidP="00BD5C84">
      <w:pPr>
        <w:pStyle w:val="a3"/>
        <w:rPr>
          <w:rFonts w:ascii="Times New Roman" w:hAnsi="Times New Roman" w:cs="Times New Roman"/>
        </w:rPr>
      </w:pPr>
      <w:proofErr w:type="spellStart"/>
      <w:r>
        <w:rPr>
          <w:rFonts w:ascii="Times New Roman" w:hAnsi="Times New Roman" w:cs="Times New Roman" w:hint="eastAsia"/>
        </w:rPr>
        <w:t>H</w:t>
      </w:r>
      <w:r>
        <w:rPr>
          <w:rFonts w:ascii="Times New Roman" w:hAnsi="Times New Roman" w:cs="Times New Roman"/>
        </w:rPr>
        <w:t>omoharringtonine</w:t>
      </w:r>
      <w:proofErr w:type="spellEnd"/>
      <w:r>
        <w:rPr>
          <w:rFonts w:ascii="Times New Roman" w:hAnsi="Times New Roman" w:cs="Times New Roman"/>
        </w:rPr>
        <w:t xml:space="preserve"> as a novel </w:t>
      </w:r>
      <w:proofErr w:type="spellStart"/>
      <w:r>
        <w:rPr>
          <w:rFonts w:ascii="Times New Roman" w:hAnsi="Times New Roman" w:cs="Times New Roman"/>
        </w:rPr>
        <w:t>senotherapeutics</w:t>
      </w:r>
      <w:proofErr w:type="spellEnd"/>
      <w:r>
        <w:rPr>
          <w:rFonts w:ascii="Times New Roman" w:hAnsi="Times New Roman" w:cs="Times New Roman"/>
        </w:rPr>
        <w:t xml:space="preserve"> </w:t>
      </w:r>
      <w:r w:rsidR="0022761B">
        <w:rPr>
          <w:rFonts w:ascii="Times New Roman" w:hAnsi="Times New Roman" w:cs="Times New Roman"/>
        </w:rPr>
        <w:t xml:space="preserve">to promote metabolic health and longevity </w:t>
      </w:r>
    </w:p>
    <w:p w:rsidR="00BD5C84" w:rsidRPr="00BD5C84" w:rsidRDefault="00BD5C84" w:rsidP="00BD5C84">
      <w:pPr>
        <w:pStyle w:val="a3"/>
        <w:rPr>
          <w:rFonts w:ascii="Times New Roman" w:hAnsi="Times New Roman" w:cs="Times New Roman"/>
        </w:rPr>
      </w:pPr>
      <w:r w:rsidRPr="00BD5C84">
        <w:rPr>
          <w:rFonts w:ascii="Times New Roman" w:hAnsi="Times New Roman" w:cs="Times New Roman"/>
        </w:rPr>
        <w:t>The progressive accumulation of senescent cells is increasingly recognized as a fundamental driver of organismal aging and metabolic decline. These cells arise in response to diverse stressors—including telomere shortening, genomic instability, and oncogenic signaling—and enter a state of irreversible proliferative arrest. Beyond growth cessation, senescent cells actively remodel their microenvironment by releasing a complex mixture of pro-inflammatory and profibrotic mediators collectively known as the senescence-associated secretory phenotype (SASP), thereby compromising tissue integrity. Among metabolic organs, adipose tissue is particularly prone to senescence-associated deterioration, where cellular aging contributes to chronic inflammation, extracellular matrix remodeling, and systemic insulin resistance. Although experimental removal of senescent cells improves metabolic parameters in diet-induced obesity models, translatable pharmacological strategies remain scarce.</w:t>
      </w:r>
      <w:r w:rsidR="001E0AE2">
        <w:rPr>
          <w:rFonts w:ascii="Times New Roman" w:hAnsi="Times New Roman" w:cs="Times New Roman" w:hint="eastAsia"/>
        </w:rPr>
        <w:t xml:space="preserve"> </w:t>
      </w:r>
      <w:r w:rsidRPr="00BD5C84">
        <w:rPr>
          <w:rFonts w:ascii="Times New Roman" w:hAnsi="Times New Roman" w:cs="Times New Roman"/>
        </w:rPr>
        <w:t xml:space="preserve">To identify candidate </w:t>
      </w:r>
      <w:proofErr w:type="spellStart"/>
      <w:r w:rsidRPr="00BD5C84">
        <w:rPr>
          <w:rFonts w:ascii="Times New Roman" w:hAnsi="Times New Roman" w:cs="Times New Roman"/>
        </w:rPr>
        <w:t>senotherapeutics</w:t>
      </w:r>
      <w:proofErr w:type="spellEnd"/>
      <w:r w:rsidRPr="00BD5C84">
        <w:rPr>
          <w:rFonts w:ascii="Times New Roman" w:hAnsi="Times New Roman" w:cs="Times New Roman"/>
        </w:rPr>
        <w:t xml:space="preserve">, we implemented a high-throughput phenotypic screening platform encompassing 2,150 compounds with established clinical use or approval status. Multiple cellular models of senescence were interrogated, and compound activity was assessed using cell viability profiling together with senescence-associated β-galactosidase (SAβGal) measurements. Fifteen compounds demonstrating selective in vitro efficacy were prioritized for in vivo validation in obese mice. Among them, </w:t>
      </w:r>
      <w:proofErr w:type="spellStart"/>
      <w:r w:rsidRPr="00BD5C84">
        <w:rPr>
          <w:rFonts w:ascii="Times New Roman" w:hAnsi="Times New Roman" w:cs="Times New Roman"/>
        </w:rPr>
        <w:t>homoharringtonine</w:t>
      </w:r>
      <w:proofErr w:type="spellEnd"/>
      <w:r w:rsidRPr="00BD5C84">
        <w:rPr>
          <w:rFonts w:ascii="Times New Roman" w:hAnsi="Times New Roman" w:cs="Times New Roman"/>
        </w:rPr>
        <w:t xml:space="preserve"> (HHT) displayed the most robust therapeutic profile, alleviating glucose intolerance while diminishing markers of cellular senescence and inflammatory gene expression within adipose depots. Similar reductions in senescence burden were observed in aged murine tissues as well as in adipose samples derived from obese individuals.</w:t>
      </w:r>
      <w:r w:rsidR="001E0AE2">
        <w:rPr>
          <w:rFonts w:ascii="Times New Roman" w:hAnsi="Times New Roman" w:cs="Times New Roman" w:hint="eastAsia"/>
        </w:rPr>
        <w:t xml:space="preserve"> </w:t>
      </w:r>
      <w:r w:rsidRPr="00BD5C84">
        <w:rPr>
          <w:rFonts w:ascii="Times New Roman" w:hAnsi="Times New Roman" w:cs="Times New Roman"/>
        </w:rPr>
        <w:t>High-dimensional analyses, including single-cell transcriptomic profiling and mass cytometry, revealed that HHT dampened senescence-related transcriptional networks across both adipose progenitor populations and terminally differentiated adipocytes. Mechanistic investigation indicated that HHT targets the endoplasmic reticulum chaperone HSPA5, attenuating its function and enabling preferential clearance of senescent cells. Notably, the effects of HHT were not confined to adipose tissue; decreased senescence signatures were also detected in skeletal muscle, kidney, and lung. In both accelerated-aging and naturally aged mouse models, HHT administration was associated with lifespan extension.</w:t>
      </w:r>
      <w:bookmarkStart w:id="0" w:name="_GoBack"/>
      <w:bookmarkEnd w:id="0"/>
      <w:r w:rsidRPr="00BD5C84">
        <w:rPr>
          <w:rFonts w:ascii="Times New Roman" w:hAnsi="Times New Roman" w:cs="Times New Roman"/>
        </w:rPr>
        <w:t>Together, these findings position HHT as a systemically acting senotherapeutic candidate with the capacity to mitigate metabolic dysfunction and enhance longevity through modulation of cellular senescence pathways.</w:t>
      </w:r>
    </w:p>
    <w:p w:rsidR="00E51E93" w:rsidRPr="00BD5C84" w:rsidRDefault="00E51E93">
      <w:pPr>
        <w:rPr>
          <w:rFonts w:ascii="Times New Roman" w:hAnsi="Times New Roman" w:cs="Times New Roman"/>
        </w:rPr>
      </w:pPr>
    </w:p>
    <w:sectPr w:rsidR="00E51E93" w:rsidRPr="00BD5C84">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C84"/>
    <w:rsid w:val="001E0AE2"/>
    <w:rsid w:val="0022761B"/>
    <w:rsid w:val="00274A27"/>
    <w:rsid w:val="00BD5C84"/>
    <w:rsid w:val="00C51605"/>
    <w:rsid w:val="00E51E9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99987"/>
  <w15:chartTrackingRefBased/>
  <w15:docId w15:val="{99F11E0D-2685-4D35-B950-58D866250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D5C84"/>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587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1</Pages>
  <Words>424</Words>
  <Characters>2423</Characters>
  <Application>Microsoft Office Word</Application>
  <DocSecurity>0</DocSecurity>
  <Lines>20</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3</cp:revision>
  <dcterms:created xsi:type="dcterms:W3CDTF">2026-02-27T02:55:00Z</dcterms:created>
  <dcterms:modified xsi:type="dcterms:W3CDTF">2026-02-27T04:14:00Z</dcterms:modified>
</cp:coreProperties>
</file>